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E7EFB" w14:textId="77777777" w:rsidR="000D6913" w:rsidRPr="000D6913" w:rsidRDefault="000D6913" w:rsidP="000D6913">
      <w:pPr>
        <w:keepNext/>
        <w:keepLines/>
        <w:pageBreakBefore/>
        <w:shd w:val="clear" w:color="auto" w:fill="FFFFFF"/>
        <w:spacing w:after="200" w:line="360" w:lineRule="auto"/>
        <w:jc w:val="center"/>
        <w:outlineLvl w:val="1"/>
        <w:rPr>
          <w:rFonts w:ascii="Arial" w:eastAsia="Times New Roman" w:hAnsi="Arial" w:cs="Times New Roman"/>
          <w:b/>
          <w:bCs/>
          <w:color w:val="000000" w:themeColor="text1"/>
          <w:sz w:val="28"/>
          <w:szCs w:val="28"/>
          <w:lang w:val="es-UY" w:eastAsia="ar-SA"/>
        </w:rPr>
      </w:pPr>
      <w:bookmarkStart w:id="0" w:name="_Toc87871652"/>
      <w:bookmarkStart w:id="1" w:name="_GoBack"/>
      <w:bookmarkEnd w:id="1"/>
      <w:r w:rsidRPr="000D6913">
        <w:rPr>
          <w:rFonts w:ascii="Arial" w:eastAsia="Times New Roman" w:hAnsi="Arial" w:cs="Times New Roman"/>
          <w:b/>
          <w:bCs/>
          <w:color w:val="000000" w:themeColor="text1"/>
          <w:sz w:val="28"/>
          <w:szCs w:val="28"/>
          <w:lang w:val="es-UY" w:eastAsia="ar-SA"/>
        </w:rPr>
        <w:t>Anexo  – Recomendaciones sobre la oferta en línea</w:t>
      </w:r>
      <w:bookmarkEnd w:id="0"/>
    </w:p>
    <w:p w14:paraId="744A4530" w14:textId="77777777" w:rsidR="000D6913" w:rsidRPr="000D6913" w:rsidRDefault="000D6913" w:rsidP="000D6913">
      <w:p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 xml:space="preserve">Sr. Proveedor: </w:t>
      </w:r>
    </w:p>
    <w:p w14:paraId="604D32C1" w14:textId="77777777" w:rsidR="000D6913" w:rsidRPr="000D6913" w:rsidRDefault="000D6913" w:rsidP="000D6913">
      <w:p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A los efectos de poder realizar sus ofertas en línea en tiempo y forma aconsejamos tener en cuenta las siguientes recomendaciones:</w:t>
      </w:r>
    </w:p>
    <w:p w14:paraId="0CA0FABF"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 xml:space="preserve">Estar registrado en RUPE es un requisito excluyente para poder ofertar en línea. Si no lo está, recomendamos realizar el procedimiento de inscripción lo antes posible y como primer paso. Para más información de RUPE ver el siguiente </w:t>
      </w:r>
      <w:hyperlink r:id="rId10" w:history="1">
        <w:r w:rsidRPr="000D6913">
          <w:rPr>
            <w:rFonts w:ascii="Arial" w:eastAsia="Times New Roman" w:hAnsi="Arial" w:cs="Times New Roman"/>
            <w:color w:val="000080"/>
            <w:u w:val="single"/>
            <w:lang w:val="es-UY" w:eastAsia="ar-SA"/>
          </w:rPr>
          <w:t>link</w:t>
        </w:r>
      </w:hyperlink>
      <w:r w:rsidRPr="000D6913">
        <w:rPr>
          <w:rFonts w:ascii="Arial" w:eastAsia="Times New Roman" w:hAnsi="Arial" w:cs="Times New Roman"/>
          <w:color w:val="000000"/>
          <w:lang w:val="es-UY" w:eastAsia="ar-SA"/>
        </w:rPr>
        <w:t xml:space="preserve"> o comunicarse al (+598) 2604 5360 de lunes a domingo de 8:00 a 21:00 hs.. Para poder ofertar es suficiente estar registrado en RUPE en estado EN INGRESO.</w:t>
      </w:r>
    </w:p>
    <w:p w14:paraId="16C022B1"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 xml:space="preserve">Debe tener contraseña para ingresar al sistema de ofertas en línea. Si no la posee, recomendamos obtenerla tan pronto decida participar en este proceso. </w:t>
      </w:r>
    </w:p>
    <w:p w14:paraId="63FFA7B5" w14:textId="77777777" w:rsidR="000D6913" w:rsidRPr="000D6913" w:rsidRDefault="000D6913" w:rsidP="000D6913">
      <w:pPr>
        <w:spacing w:after="200" w:line="360" w:lineRule="auto"/>
        <w:ind w:left="720"/>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 xml:space="preserve">ATENCIÓN: la contraseña de acceso al sistema de oferta en línea no es la misma contraseña de acceso al RUPE. Se obtiene directamente del sistema y se recibe en el correo electrónico registrado en RUPE. </w:t>
      </w:r>
      <w:r w:rsidRPr="000D6913">
        <w:rPr>
          <w:rFonts w:ascii="Arial" w:eastAsia="Times New Roman" w:hAnsi="Arial" w:cs="Times New Roman"/>
          <w:b/>
          <w:bCs/>
          <w:color w:val="000000"/>
          <w:lang w:val="es-UY" w:eastAsia="ar-SA"/>
        </w:rPr>
        <w:t xml:space="preserve">Recomendamos leer el </w:t>
      </w:r>
      <w:hyperlink r:id="rId11" w:history="1">
        <w:r w:rsidRPr="000D6913">
          <w:rPr>
            <w:rFonts w:ascii="Arial" w:eastAsia="Times New Roman" w:hAnsi="Arial" w:cs="Times New Roman"/>
            <w:color w:val="000000"/>
            <w:u w:val="single"/>
            <w:lang w:val="es-UY" w:eastAsia="ar-SA"/>
          </w:rPr>
          <w:t>manual</w:t>
        </w:r>
      </w:hyperlink>
      <w:r w:rsidRPr="000D6913">
        <w:rPr>
          <w:rFonts w:ascii="Arial" w:eastAsia="Times New Roman" w:hAnsi="Arial" w:cs="Times New Roman"/>
          <w:b/>
          <w:bCs/>
          <w:color w:val="000000"/>
          <w:lang w:val="es-UY" w:eastAsia="ar-SA"/>
        </w:rPr>
        <w:t xml:space="preserve"> y ver el </w:t>
      </w:r>
      <w:r w:rsidRPr="000D6913">
        <w:rPr>
          <w:rFonts w:ascii="Arial" w:eastAsia="Times New Roman" w:hAnsi="Arial" w:cs="Times New Roman"/>
          <w:b/>
          <w:lang w:val="es-UY" w:eastAsia="ar-SA"/>
        </w:rPr>
        <w:t xml:space="preserve">video </w:t>
      </w:r>
      <w:r w:rsidRPr="000D6913">
        <w:rPr>
          <w:rFonts w:ascii="Arial" w:eastAsia="Times New Roman" w:hAnsi="Arial" w:cs="Times New Roman"/>
          <w:lang w:val="es-UY" w:eastAsia="ar-SA"/>
        </w:rPr>
        <w:t>explicativo</w:t>
      </w:r>
      <w:r w:rsidRPr="000D6913">
        <w:rPr>
          <w:rFonts w:ascii="Arial" w:eastAsia="Times New Roman" w:hAnsi="Arial" w:cs="Times New Roman"/>
          <w:b/>
          <w:bCs/>
          <w:color w:val="000000"/>
          <w:lang w:val="es-UY" w:eastAsia="ar-SA"/>
        </w:rPr>
        <w:t xml:space="preserve"> sobre el ingreso de ofertas en línea en </w:t>
      </w:r>
      <w:hyperlink r:id="rId12" w:history="1">
        <w:r w:rsidRPr="000D6913">
          <w:rPr>
            <w:rFonts w:ascii="Arial" w:eastAsia="Times New Roman" w:hAnsi="Arial" w:cs="Times New Roman"/>
            <w:b/>
            <w:bCs/>
            <w:color w:val="000080"/>
            <w:u w:val="single"/>
            <w:lang w:val="es-UY" w:eastAsia="ar-SA"/>
          </w:rPr>
          <w:t>link</w:t>
        </w:r>
      </w:hyperlink>
      <w:r w:rsidRPr="000D6913">
        <w:rPr>
          <w:rFonts w:ascii="Arial" w:eastAsia="Times New Roman" w:hAnsi="Arial" w:cs="Times New Roman"/>
          <w:b/>
          <w:bCs/>
          <w:color w:val="000000"/>
          <w:lang w:val="es-UY" w:eastAsia="ar-SA"/>
        </w:rPr>
        <w:t xml:space="preserve"> que se encuentra en el sitio web. </w:t>
      </w:r>
    </w:p>
    <w:p w14:paraId="61D1A890"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lastRenderedPageBreak/>
        <w:t>Al ingresar la oferta económica en línea, deberá especificar el precio, moneda, impuesto, cantidad a ofertar y otra serie de atributos por cada ítem cotizado (presentación, color, etc.). Recomendamos analizar los ítems para los que va a ingresar cotización, para tener la certeza de contar con todos los datos disponibles.</w:t>
      </w:r>
    </w:p>
    <w:p w14:paraId="433C8609"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 xml:space="preserve">En caso que sea necesario podrá ingresar información de carácter complementario, la que deberá ajustarse tanto al tamaño máximo por archivo (100 Mb) como a las extensiones habilitadas: txt, rtf, pdf, doc, docx, xls, xlsx, odt, ods, zip, rar y 7z. </w:t>
      </w:r>
    </w:p>
    <w:p w14:paraId="03EEEC6D" w14:textId="77777777" w:rsidR="000D6913" w:rsidRPr="000D6913" w:rsidRDefault="000D6913" w:rsidP="000D6913">
      <w:pPr>
        <w:spacing w:after="200" w:line="360" w:lineRule="auto"/>
        <w:ind w:left="709"/>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 xml:space="preserve">Si usted desea cotizar algún impuesto, o atributo que no se encuentra disponible en el sistema, deberá comunicarse con la sección Catálogo de ARCE al correo electrónico </w:t>
      </w:r>
      <w:hyperlink r:id="rId13" w:history="1">
        <w:r w:rsidRPr="000D6913">
          <w:rPr>
            <w:rFonts w:ascii="Arial" w:eastAsia="Times New Roman" w:hAnsi="Arial" w:cs="Times New Roman"/>
            <w:color w:val="000000"/>
            <w:u w:val="single"/>
            <w:lang w:val="es-UY" w:eastAsia="ar-SA"/>
          </w:rPr>
          <w:t>catalogo@acce.gub.uy</w:t>
        </w:r>
      </w:hyperlink>
      <w:r w:rsidRPr="000D6913">
        <w:rPr>
          <w:rFonts w:ascii="Arial" w:eastAsia="Times New Roman" w:hAnsi="Arial" w:cs="Times New Roman"/>
          <w:color w:val="000000"/>
          <w:lang w:val="es-UY" w:eastAsia="ar-SA"/>
        </w:rPr>
        <w:t xml:space="preserve"> para solicitar la inclusión y/o asesorarse acerca de la forma de proceder al respecto.</w:t>
      </w:r>
    </w:p>
    <w:p w14:paraId="7FF0CD50"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Recomendamos preparar los documentos que conformarán la oferta con tiempo. Es de suma importancia que separe la parte confidencial de la no confidencial. Tenga en cuenta que una clasificación incorrecta en este aspecto, podría implicar la descalificación de la oferta.</w:t>
      </w:r>
    </w:p>
    <w:p w14:paraId="54016D59"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 xml:space="preserve">Ingresar su cotización lo antes posible para tener la seguridad de que todo funcionó correctamente. De hacerlo a último momento pueden ocurrir imprevistos, como fallos en la conexión a Internet, caída de servidores, sistemas </w:t>
      </w:r>
      <w:r w:rsidRPr="000D6913">
        <w:rPr>
          <w:rFonts w:ascii="Arial" w:eastAsia="Times New Roman" w:hAnsi="Arial" w:cs="Times New Roman"/>
          <w:color w:val="000000"/>
          <w:lang w:val="es-UY" w:eastAsia="ar-SA"/>
        </w:rPr>
        <w:lastRenderedPageBreak/>
        <w:t xml:space="preserve">lentos por la gran cantidad de personas accediendo a lo mismo, etc., que no se podrán solucionar instantáneamente. </w:t>
      </w:r>
    </w:p>
    <w:p w14:paraId="55CCCFC4"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Tener presente que en caso de producirse problemas de funcionamiento en el sistema que impidan el ingreso de las ofertas al mismo durante las 24 horas corridas previas a la apertura, éste reprogramará una nueva fecha de apertura a fin de asegurar el plazo requerido para dicho ingreso (Salvo el caso dispuesto en el artículo 14 del Decreto N° 142/018 referido a “interrupciones debidas a cortes programados y/o de pequeña duración ocurridos fuera del horario de 09:00 a 17:00 horas de los días hábiles”). Esta nueva fecha será publicada en el sitio web de Compras y Contrataciones Estatales.</w:t>
      </w:r>
    </w:p>
    <w:p w14:paraId="2D4B6347" w14:textId="77777777" w:rsidR="000D6913" w:rsidRPr="000D6913" w:rsidRDefault="000D6913" w:rsidP="000D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709"/>
        <w:jc w:val="both"/>
        <w:rPr>
          <w:rFonts w:ascii="Arial" w:eastAsia="Times New Roman" w:hAnsi="Arial" w:cs="Arial"/>
          <w:lang w:val="es-UY" w:eastAsia="ar-SA"/>
        </w:rPr>
      </w:pPr>
      <w:r w:rsidRPr="000D6913">
        <w:rPr>
          <w:rFonts w:ascii="Arial" w:eastAsia="Times New Roman" w:hAnsi="Arial" w:cs="Arial"/>
          <w:lang w:val="es-UY" w:eastAsia="ar-SA"/>
        </w:rPr>
        <w:t>De no haber sido posible el ingreso de la oferta en el plazo establecido en la convocatoria debido a problemas de funcionamiento del sistema, el proveedor podrá presentar el reclamo con la debida probanza ante el organismo contratante. Este último deberá presentar los recaudos correspondientes ante la Agencia Reguladora de Compras Estatales a efectos de su análisis. En caso de constatarse la existencia de un problema que efectivamente imposibilitó el ingreso de ofertas, el organismo contratante procederá a la anulación del procedimiento de acuerdo a lo dispuesto en el tercer inciso del artículo 13 del Decreto N° 142/018 y conforme al artículo 68 del TOCAF.</w:t>
      </w:r>
    </w:p>
    <w:p w14:paraId="402C62CD" w14:textId="77777777" w:rsidR="000D6913" w:rsidRPr="000D6913" w:rsidRDefault="000D6913" w:rsidP="000D6913">
      <w:pPr>
        <w:numPr>
          <w:ilvl w:val="0"/>
          <w:numId w:val="1"/>
        </w:numPr>
        <w:spacing w:after="200" w:line="360" w:lineRule="auto"/>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lastRenderedPageBreak/>
        <w:t>Hasta la hora señalada para la apertura usted podrá ver, modificar y hasta eliminar su oferta.</w:t>
      </w:r>
    </w:p>
    <w:p w14:paraId="01D71B4F" w14:textId="77777777" w:rsidR="000D6913" w:rsidRPr="000D6913" w:rsidRDefault="000D6913" w:rsidP="000D6913">
      <w:pPr>
        <w:spacing w:after="200" w:line="360" w:lineRule="auto"/>
        <w:ind w:left="709"/>
        <w:jc w:val="both"/>
        <w:rPr>
          <w:rFonts w:ascii="Arial" w:eastAsia="Times New Roman" w:hAnsi="Arial" w:cs="Times New Roman"/>
          <w:color w:val="000000"/>
          <w:lang w:val="es-UY" w:eastAsia="ar-SA"/>
        </w:rPr>
      </w:pPr>
      <w:r w:rsidRPr="000D6913">
        <w:rPr>
          <w:rFonts w:ascii="Arial" w:eastAsia="Times New Roman" w:hAnsi="Arial" w:cs="Times New Roman"/>
          <w:color w:val="000000"/>
          <w:lang w:val="es-UY" w:eastAsia="ar-SA"/>
        </w:rPr>
        <w:t>A la hora establecida para la apertura usted ya no podrá modificar ni eliminar los datos y documentos ingresados al sistema. La oferta económica y los documentos no confidenciales quedarán disponibles para la Administración, el Tribunal de Cuentas y los restantes oferentes. Los documentos confidenciales solo quedarán disponibles para la Administración y el Tribunal de Cuentas.</w:t>
      </w:r>
    </w:p>
    <w:p w14:paraId="343F4818" w14:textId="77777777" w:rsidR="000D6913" w:rsidRPr="000D6913" w:rsidRDefault="000D6913" w:rsidP="000D6913">
      <w:pPr>
        <w:numPr>
          <w:ilvl w:val="0"/>
          <w:numId w:val="1"/>
        </w:numPr>
        <w:spacing w:after="200" w:line="360" w:lineRule="auto"/>
        <w:ind w:left="714" w:hanging="357"/>
        <w:jc w:val="both"/>
        <w:rPr>
          <w:rFonts w:ascii="Arial" w:eastAsia="Times New Roman" w:hAnsi="Arial" w:cs="Times New Roman"/>
          <w:szCs w:val="20"/>
          <w:lang w:val="es-UY" w:eastAsia="ar-SA"/>
        </w:rPr>
      </w:pPr>
      <w:r w:rsidRPr="000D6913">
        <w:rPr>
          <w:rFonts w:ascii="Arial" w:eastAsia="Times New Roman" w:hAnsi="Arial" w:cs="Times New Roman"/>
          <w:color w:val="000000"/>
          <w:lang w:val="es-UY" w:eastAsia="ar-SA"/>
        </w:rPr>
        <w:t xml:space="preserve">Por dudas o consultas sobre la oferta en línea, podrá comunicarse con Atención a Usuarios de ARCE al (+598) 2604 5360 de lunes a domingos 8 a 21 hs, o a través del correo </w:t>
      </w:r>
      <w:hyperlink r:id="rId14" w:history="1">
        <w:r w:rsidRPr="000D6913">
          <w:rPr>
            <w:rFonts w:ascii="Arial" w:eastAsia="Times New Roman" w:hAnsi="Arial" w:cs="Times New Roman"/>
            <w:color w:val="000080"/>
            <w:u w:val="single"/>
            <w:lang w:val="es-UY" w:eastAsia="ar-SA"/>
          </w:rPr>
          <w:t>compras@acce.gub.uy</w:t>
        </w:r>
      </w:hyperlink>
      <w:r w:rsidRPr="000D6913">
        <w:rPr>
          <w:rFonts w:ascii="Arial" w:eastAsia="Times New Roman" w:hAnsi="Arial" w:cs="Times New Roman"/>
          <w:color w:val="000000"/>
          <w:lang w:val="es-UY" w:eastAsia="ar-SA"/>
        </w:rPr>
        <w:t xml:space="preserve">. </w:t>
      </w:r>
    </w:p>
    <w:p w14:paraId="7ABD8281" w14:textId="77777777" w:rsidR="00874091" w:rsidRPr="000D6913" w:rsidRDefault="00874091">
      <w:pPr>
        <w:rPr>
          <w:lang w:val="es-UY"/>
        </w:rPr>
      </w:pPr>
    </w:p>
    <w:sectPr w:rsidR="00874091" w:rsidRPr="000D69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1FD5" w14:textId="77777777" w:rsidR="00000000" w:rsidRDefault="002D2BCF">
      <w:pPr>
        <w:spacing w:after="0" w:line="240" w:lineRule="auto"/>
      </w:pPr>
      <w:r>
        <w:separator/>
      </w:r>
    </w:p>
  </w:endnote>
  <w:endnote w:type="continuationSeparator" w:id="0">
    <w:p w14:paraId="26E548E4" w14:textId="77777777" w:rsidR="00000000" w:rsidRDefault="002D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70B5" w14:textId="77777777" w:rsidR="00000000" w:rsidRDefault="002D2BCF">
      <w:pPr>
        <w:spacing w:after="0" w:line="240" w:lineRule="auto"/>
      </w:pPr>
      <w:r>
        <w:separator/>
      </w:r>
    </w:p>
  </w:footnote>
  <w:footnote w:type="continuationSeparator" w:id="0">
    <w:p w14:paraId="57AEA391" w14:textId="77777777" w:rsidR="00000000" w:rsidRDefault="002D2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720"/>
        </w:tabs>
        <w:ind w:left="720" w:hanging="360"/>
      </w:pPr>
      <w:rPr>
        <w:rFonts w:ascii="Arial" w:hAnsi="Arial"/>
        <w:sz w:val="22"/>
        <w:szCs w:val="24"/>
      </w:rPr>
    </w:lvl>
    <w:lvl w:ilvl="1">
      <w:start w:val="1"/>
      <w:numFmt w:val="decimal"/>
      <w:lvlText w:val="%2."/>
      <w:lvlJc w:val="left"/>
      <w:pPr>
        <w:tabs>
          <w:tab w:val="num" w:pos="1080"/>
        </w:tabs>
        <w:ind w:left="1080" w:hanging="360"/>
      </w:pPr>
      <w:rPr>
        <w:rFonts w:ascii="Arial" w:hAnsi="Arial"/>
        <w:sz w:val="22"/>
        <w:szCs w:val="24"/>
      </w:rPr>
    </w:lvl>
    <w:lvl w:ilvl="2">
      <w:start w:val="1"/>
      <w:numFmt w:val="decimal"/>
      <w:lvlText w:val="%3."/>
      <w:lvlJc w:val="left"/>
      <w:pPr>
        <w:tabs>
          <w:tab w:val="num" w:pos="1440"/>
        </w:tabs>
        <w:ind w:left="1440" w:hanging="360"/>
      </w:pPr>
      <w:rPr>
        <w:rFonts w:ascii="Arial" w:hAnsi="Arial"/>
        <w:sz w:val="22"/>
        <w:szCs w:val="24"/>
      </w:rPr>
    </w:lvl>
    <w:lvl w:ilvl="3">
      <w:start w:val="1"/>
      <w:numFmt w:val="decimal"/>
      <w:lvlText w:val="%4."/>
      <w:lvlJc w:val="left"/>
      <w:pPr>
        <w:tabs>
          <w:tab w:val="num" w:pos="1800"/>
        </w:tabs>
        <w:ind w:left="1800" w:hanging="360"/>
      </w:pPr>
      <w:rPr>
        <w:rFonts w:ascii="Arial" w:hAnsi="Arial"/>
        <w:sz w:val="22"/>
        <w:szCs w:val="24"/>
      </w:rPr>
    </w:lvl>
    <w:lvl w:ilvl="4">
      <w:start w:val="1"/>
      <w:numFmt w:val="decimal"/>
      <w:lvlText w:val="%5."/>
      <w:lvlJc w:val="left"/>
      <w:pPr>
        <w:tabs>
          <w:tab w:val="num" w:pos="2160"/>
        </w:tabs>
        <w:ind w:left="2160" w:hanging="360"/>
      </w:pPr>
      <w:rPr>
        <w:rFonts w:ascii="Arial" w:hAnsi="Arial"/>
        <w:sz w:val="22"/>
        <w:szCs w:val="24"/>
      </w:rPr>
    </w:lvl>
    <w:lvl w:ilvl="5">
      <w:start w:val="1"/>
      <w:numFmt w:val="decimal"/>
      <w:lvlText w:val="%6."/>
      <w:lvlJc w:val="left"/>
      <w:pPr>
        <w:tabs>
          <w:tab w:val="num" w:pos="2520"/>
        </w:tabs>
        <w:ind w:left="2520" w:hanging="360"/>
      </w:pPr>
      <w:rPr>
        <w:rFonts w:ascii="Arial" w:hAnsi="Arial"/>
        <w:sz w:val="22"/>
        <w:szCs w:val="24"/>
      </w:rPr>
    </w:lvl>
    <w:lvl w:ilvl="6">
      <w:start w:val="1"/>
      <w:numFmt w:val="decimal"/>
      <w:lvlText w:val="%7."/>
      <w:lvlJc w:val="left"/>
      <w:pPr>
        <w:tabs>
          <w:tab w:val="num" w:pos="2880"/>
        </w:tabs>
        <w:ind w:left="2880" w:hanging="360"/>
      </w:pPr>
      <w:rPr>
        <w:rFonts w:ascii="Arial" w:hAnsi="Arial"/>
        <w:sz w:val="22"/>
        <w:szCs w:val="24"/>
      </w:rPr>
    </w:lvl>
    <w:lvl w:ilvl="7">
      <w:start w:val="1"/>
      <w:numFmt w:val="decimal"/>
      <w:lvlText w:val="%8."/>
      <w:lvlJc w:val="left"/>
      <w:pPr>
        <w:tabs>
          <w:tab w:val="num" w:pos="3240"/>
        </w:tabs>
        <w:ind w:left="3240" w:hanging="360"/>
      </w:pPr>
      <w:rPr>
        <w:rFonts w:ascii="Arial" w:hAnsi="Arial"/>
        <w:sz w:val="22"/>
        <w:szCs w:val="24"/>
      </w:rPr>
    </w:lvl>
    <w:lvl w:ilvl="8">
      <w:start w:val="1"/>
      <w:numFmt w:val="decimal"/>
      <w:lvlText w:val="%9."/>
      <w:lvlJc w:val="left"/>
      <w:pPr>
        <w:tabs>
          <w:tab w:val="num" w:pos="3600"/>
        </w:tabs>
        <w:ind w:left="3600" w:hanging="360"/>
      </w:pPr>
      <w:rPr>
        <w:rFonts w:ascii="Arial" w:hAnsi="Arial"/>
        <w:sz w:val="22"/>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13"/>
    <w:rsid w:val="00090C0C"/>
    <w:rsid w:val="000D6913"/>
    <w:rsid w:val="002D2BCF"/>
    <w:rsid w:val="00874091"/>
    <w:rsid w:val="00C63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611A"/>
  <w15:chartTrackingRefBased/>
  <w15:docId w15:val="{896947A8-37E8-44CD-BA39-3C663F9B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talogo@acce.gub.u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ub.uy/agencia-reguladora-compras-estatales/comunicacion/publicaciones/ofertar-linea-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prasestatales.gub.uy/wps/wcm/connect/pvcompras/4b03f9ea-e6a3-42c8-a922-12250296eebc/C%C3%B3mo+ofertar+en+l%C3%ADnea+%282%29.pdf?MOD=AJPER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ub.uy/agencia-reguladora-compras-estatales/politicas-y-gestion/planes/registro-unico-proveedores-del-esta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ras@acce.gub.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757F7-35E3-4966-A05F-51A3E99BC6CB}">
  <ds:schemaRefs>
    <ds:schemaRef ds:uri="http://schemas.microsoft.com/sharepoint/v3/contenttype/forms"/>
  </ds:schemaRefs>
</ds:datastoreItem>
</file>

<file path=customXml/itemProps2.xml><?xml version="1.0" encoding="utf-8"?>
<ds:datastoreItem xmlns:ds="http://schemas.openxmlformats.org/officeDocument/2006/customXml" ds:itemID="{95414182-08D5-46DC-AE78-3F11BCD21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673147-43F7-4AE6-813E-14D919EA89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Buffa</dc:creator>
  <cp:keywords/>
  <dc:description/>
  <cp:lastModifiedBy>Piacenza, Serrana</cp:lastModifiedBy>
  <cp:revision>2</cp:revision>
  <dcterms:created xsi:type="dcterms:W3CDTF">2023-12-27T16:07:00Z</dcterms:created>
  <dcterms:modified xsi:type="dcterms:W3CDTF">2023-12-27T16:07:00Z</dcterms:modified>
</cp:coreProperties>
</file>